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0B1DE" w14:textId="77777777" w:rsidR="00A23B47" w:rsidRPr="00A23B47" w:rsidRDefault="00A23B47" w:rsidP="00A23B47">
      <w:pPr>
        <w:rPr>
          <w:b/>
          <w:bCs/>
        </w:rPr>
      </w:pPr>
      <w:r w:rsidRPr="00A23B47">
        <w:rPr>
          <w:b/>
          <w:bCs/>
        </w:rPr>
        <w:t>Best Price Guarantee – Terms &amp; Conditions</w:t>
      </w:r>
    </w:p>
    <w:p w14:paraId="33D47D9F" w14:textId="77777777" w:rsidR="00A23B47" w:rsidRPr="00A23B47" w:rsidRDefault="00A23B47" w:rsidP="00A23B47">
      <w:pPr>
        <w:rPr>
          <w:b/>
          <w:bCs/>
        </w:rPr>
      </w:pPr>
      <w:r w:rsidRPr="00A23B47">
        <w:rPr>
          <w:b/>
          <w:bCs/>
        </w:rPr>
        <w:t>1. The Guarantee</w:t>
      </w:r>
    </w:p>
    <w:p w14:paraId="79E40CC8" w14:textId="77777777" w:rsidR="00A23B47" w:rsidRPr="00A23B47" w:rsidRDefault="00A23B47" w:rsidP="00A23B47">
      <w:r w:rsidRPr="00A23B47">
        <w:t>Subject strictly to these Terms and Conditions, we may, in our absolute discretion, offer to beat a competitor’s price on an eligible commercial insurance policy.</w:t>
      </w:r>
    </w:p>
    <w:p w14:paraId="3CCB548F" w14:textId="77777777" w:rsidR="00A23B47" w:rsidRPr="00A23B47" w:rsidRDefault="00A23B47" w:rsidP="00A23B47">
      <w:r w:rsidRPr="00A23B47">
        <w:t xml:space="preserve">Where all eligibility criteria are satisfied to our sole satisfaction and we determine that we are unable to beat the competitor’s price for materially equivalent cover, we will provide the client with a </w:t>
      </w:r>
      <w:r w:rsidRPr="00A23B47">
        <w:rPr>
          <w:b/>
          <w:bCs/>
        </w:rPr>
        <w:t>$50 gift card</w:t>
      </w:r>
      <w:r w:rsidRPr="00A23B47">
        <w:t xml:space="preserve"> as the sole and exclusive remedy.</w:t>
      </w:r>
    </w:p>
    <w:p w14:paraId="5F77CE2F" w14:textId="77777777" w:rsidR="00A23B47" w:rsidRPr="00A23B47" w:rsidRDefault="00A23B47" w:rsidP="00A23B47">
      <w:r w:rsidRPr="00A23B47">
        <w:t>This guarantee is conditional, limited, and non-binding unless and until expressly confirmed by us in writing.</w:t>
      </w:r>
    </w:p>
    <w:p w14:paraId="122DD1EB" w14:textId="77777777" w:rsidR="00A23B47" w:rsidRPr="00A23B47" w:rsidRDefault="00A23B47" w:rsidP="00A23B47">
      <w:r w:rsidRPr="00A23B47">
        <w:pict w14:anchorId="0970A3F5">
          <v:rect id="_x0000_i1091" style="width:468pt;height:1.5pt" o:hralign="center" o:hrstd="t" o:hr="t" fillcolor="#a0a0a0" stroked="f"/>
        </w:pict>
      </w:r>
    </w:p>
    <w:p w14:paraId="02DAECFB" w14:textId="77777777" w:rsidR="00A23B47" w:rsidRPr="00A23B47" w:rsidRDefault="00A23B47" w:rsidP="00A23B47">
      <w:pPr>
        <w:rPr>
          <w:b/>
          <w:bCs/>
        </w:rPr>
      </w:pPr>
      <w:r w:rsidRPr="00A23B47">
        <w:rPr>
          <w:b/>
          <w:bCs/>
        </w:rPr>
        <w:t>2. Eligibility Criteria</w:t>
      </w:r>
    </w:p>
    <w:p w14:paraId="23C20D09" w14:textId="77777777" w:rsidR="00A23B47" w:rsidRPr="00A23B47" w:rsidRDefault="00A23B47" w:rsidP="00A23B47">
      <w:r w:rsidRPr="00A23B47">
        <w:t>All of the following conditions must be satisfied in full, as determined by us in our absolute discretion:</w:t>
      </w:r>
    </w:p>
    <w:p w14:paraId="667AE06C" w14:textId="77777777" w:rsidR="00A23B47" w:rsidRPr="00A23B47" w:rsidRDefault="00A23B47" w:rsidP="00A23B47">
      <w:pPr>
        <w:rPr>
          <w:b/>
          <w:bCs/>
        </w:rPr>
      </w:pPr>
      <w:r w:rsidRPr="00A23B47">
        <w:rPr>
          <w:b/>
          <w:bCs/>
        </w:rPr>
        <w:t>2.1 Existing Policy Requirements</w:t>
      </w:r>
    </w:p>
    <w:p w14:paraId="13006B06" w14:textId="77777777" w:rsidR="00A23B47" w:rsidRPr="00A23B47" w:rsidRDefault="00A23B47" w:rsidP="00A23B47">
      <w:pPr>
        <w:numPr>
          <w:ilvl w:val="0"/>
          <w:numId w:val="1"/>
        </w:numPr>
      </w:pPr>
      <w:r w:rsidRPr="00A23B47">
        <w:t xml:space="preserve">The policy must relate to a business domiciled and operating in Australia. </w:t>
      </w:r>
    </w:p>
    <w:p w14:paraId="12168C37" w14:textId="77777777" w:rsidR="00A23B47" w:rsidRPr="00A23B47" w:rsidRDefault="00A23B47" w:rsidP="00A23B47">
      <w:pPr>
        <w:numPr>
          <w:ilvl w:val="0"/>
          <w:numId w:val="1"/>
        </w:numPr>
      </w:pPr>
      <w:r w:rsidRPr="00A23B47">
        <w:t xml:space="preserve">The business must be currently insured through a licensed Australian insurance broker. </w:t>
      </w:r>
    </w:p>
    <w:p w14:paraId="060DD4F4" w14:textId="77777777" w:rsidR="00A23B47" w:rsidRPr="00A23B47" w:rsidRDefault="00A23B47" w:rsidP="00A23B47">
      <w:pPr>
        <w:numPr>
          <w:ilvl w:val="0"/>
          <w:numId w:val="1"/>
        </w:numPr>
      </w:pPr>
      <w:r w:rsidRPr="00A23B47">
        <w:t xml:space="preserve">The renewal quotation must be current, valid, and capable of immediate acceptance at the time of assessment. </w:t>
      </w:r>
    </w:p>
    <w:p w14:paraId="5BAF463E" w14:textId="77777777" w:rsidR="00A23B47" w:rsidRPr="00A23B47" w:rsidRDefault="00A23B47" w:rsidP="00A23B47">
      <w:pPr>
        <w:numPr>
          <w:ilvl w:val="0"/>
          <w:numId w:val="1"/>
        </w:numPr>
      </w:pPr>
      <w:r w:rsidRPr="00A23B47">
        <w:t xml:space="preserve">The client must provide complete, accurate, and unredacted documentation, including (without limitation): </w:t>
      </w:r>
    </w:p>
    <w:p w14:paraId="6E269BCD" w14:textId="77777777" w:rsidR="00A23B47" w:rsidRPr="00A23B47" w:rsidRDefault="00A23B47" w:rsidP="00A23B47">
      <w:pPr>
        <w:numPr>
          <w:ilvl w:val="1"/>
          <w:numId w:val="1"/>
        </w:numPr>
      </w:pPr>
      <w:r w:rsidRPr="00A23B47">
        <w:t xml:space="preserve">Renewal schedule </w:t>
      </w:r>
    </w:p>
    <w:p w14:paraId="5A33FB29" w14:textId="77777777" w:rsidR="00A23B47" w:rsidRPr="00A23B47" w:rsidRDefault="00A23B47" w:rsidP="00A23B47">
      <w:pPr>
        <w:numPr>
          <w:ilvl w:val="1"/>
          <w:numId w:val="1"/>
        </w:numPr>
      </w:pPr>
      <w:r w:rsidRPr="00A23B47">
        <w:t xml:space="preserve">Premium and fee breakdown (including broker remuneration) </w:t>
      </w:r>
    </w:p>
    <w:p w14:paraId="17373F1F" w14:textId="77777777" w:rsidR="00A23B47" w:rsidRPr="00A23B47" w:rsidRDefault="00A23B47" w:rsidP="00A23B47">
      <w:pPr>
        <w:numPr>
          <w:ilvl w:val="1"/>
          <w:numId w:val="1"/>
        </w:numPr>
      </w:pPr>
      <w:r w:rsidRPr="00A23B47">
        <w:t xml:space="preserve">Full policy wording </w:t>
      </w:r>
    </w:p>
    <w:p w14:paraId="3D7D38F7" w14:textId="77777777" w:rsidR="00A23B47" w:rsidRPr="00A23B47" w:rsidRDefault="00A23B47" w:rsidP="00A23B47">
      <w:pPr>
        <w:numPr>
          <w:ilvl w:val="1"/>
          <w:numId w:val="1"/>
        </w:numPr>
      </w:pPr>
      <w:r w:rsidRPr="00A23B47">
        <w:t xml:space="preserve">Endorsements and variations </w:t>
      </w:r>
    </w:p>
    <w:p w14:paraId="07FF381F" w14:textId="77777777" w:rsidR="00A23B47" w:rsidRPr="00A23B47" w:rsidRDefault="00A23B47" w:rsidP="00A23B47">
      <w:pPr>
        <w:numPr>
          <w:ilvl w:val="1"/>
          <w:numId w:val="1"/>
        </w:numPr>
      </w:pPr>
      <w:r w:rsidRPr="00A23B47">
        <w:t xml:space="preserve">Excesses and sub-limits </w:t>
      </w:r>
    </w:p>
    <w:p w14:paraId="6518AF50" w14:textId="77777777" w:rsidR="00A23B47" w:rsidRPr="00A23B47" w:rsidRDefault="00A23B47" w:rsidP="00A23B47">
      <w:pPr>
        <w:numPr>
          <w:ilvl w:val="1"/>
          <w:numId w:val="1"/>
        </w:numPr>
      </w:pPr>
      <w:r w:rsidRPr="00A23B47">
        <w:t xml:space="preserve">Terms, conditions, and exclusions </w:t>
      </w:r>
    </w:p>
    <w:p w14:paraId="7F0A76C9" w14:textId="77777777" w:rsidR="00A23B47" w:rsidRPr="00A23B47" w:rsidRDefault="00A23B47" w:rsidP="00A23B47">
      <w:pPr>
        <w:numPr>
          <w:ilvl w:val="1"/>
          <w:numId w:val="1"/>
        </w:numPr>
      </w:pPr>
      <w:r w:rsidRPr="00A23B47">
        <w:t xml:space="preserve">Insurer identity and underwriting details </w:t>
      </w:r>
    </w:p>
    <w:p w14:paraId="4F7BFE58" w14:textId="77777777" w:rsidR="00A23B47" w:rsidRPr="00A23B47" w:rsidRDefault="00A23B47" w:rsidP="00A23B47">
      <w:r w:rsidRPr="00A23B47">
        <w:t>We may reject any submission that is incomplete, inconsistent, unverifiable, or incapable of independent validation.</w:t>
      </w:r>
    </w:p>
    <w:p w14:paraId="62D96396" w14:textId="77777777" w:rsidR="00A23B47" w:rsidRPr="00A23B47" w:rsidRDefault="00A23B47" w:rsidP="00A23B47">
      <w:r w:rsidRPr="00A23B47">
        <w:pict w14:anchorId="414E9A83">
          <v:rect id="_x0000_i1092" style="width:468pt;height:1.5pt" o:hralign="center" o:hrstd="t" o:hr="t" fillcolor="#a0a0a0" stroked="f"/>
        </w:pict>
      </w:r>
    </w:p>
    <w:p w14:paraId="48CE67BB" w14:textId="77777777" w:rsidR="00A23B47" w:rsidRPr="00A23B47" w:rsidRDefault="00A23B47" w:rsidP="00A23B47">
      <w:pPr>
        <w:rPr>
          <w:b/>
          <w:bCs/>
        </w:rPr>
      </w:pPr>
      <w:r w:rsidRPr="00A23B47">
        <w:rPr>
          <w:b/>
          <w:bCs/>
        </w:rPr>
        <w:t>2.2 Industry Eligibility</w:t>
      </w:r>
    </w:p>
    <w:p w14:paraId="316E3C8A" w14:textId="77777777" w:rsidR="00A23B47" w:rsidRPr="00A23B47" w:rsidRDefault="00A23B47" w:rsidP="00A23B47">
      <w:r w:rsidRPr="00A23B47">
        <w:t>Eligibility is limited to businesses operating within our target SME segments, as determined by us.</w:t>
      </w:r>
    </w:p>
    <w:p w14:paraId="6D15382C" w14:textId="77777777" w:rsidR="00A23B47" w:rsidRPr="00A23B47" w:rsidRDefault="00A23B47" w:rsidP="00A23B47">
      <w:r w:rsidRPr="00A23B47">
        <w:lastRenderedPageBreak/>
        <w:t>We may accept or reject any business, industry, occupation, or risk profile at our absolute discretion, without providing reasons.</w:t>
      </w:r>
    </w:p>
    <w:p w14:paraId="6218D91B" w14:textId="77777777" w:rsidR="00A23B47" w:rsidRPr="00A23B47" w:rsidRDefault="00A23B47" w:rsidP="00A23B47">
      <w:r w:rsidRPr="00A23B47">
        <w:pict w14:anchorId="7F8A6961">
          <v:rect id="_x0000_i1093" style="width:468pt;height:1.5pt" o:hralign="center" o:hrstd="t" o:hr="t" fillcolor="#a0a0a0" stroked="f"/>
        </w:pict>
      </w:r>
    </w:p>
    <w:p w14:paraId="6E4DDB04" w14:textId="77777777" w:rsidR="00A23B47" w:rsidRPr="00A23B47" w:rsidRDefault="00A23B47" w:rsidP="00A23B47">
      <w:pPr>
        <w:rPr>
          <w:b/>
          <w:bCs/>
        </w:rPr>
      </w:pPr>
      <w:r w:rsidRPr="00A23B47">
        <w:rPr>
          <w:b/>
          <w:bCs/>
        </w:rPr>
        <w:t>2.3 Appointment and Authority</w:t>
      </w:r>
    </w:p>
    <w:p w14:paraId="3BD80C1C" w14:textId="77777777" w:rsidR="00A23B47" w:rsidRPr="00A23B47" w:rsidRDefault="00A23B47" w:rsidP="00A23B47">
      <w:r w:rsidRPr="00A23B47">
        <w:t>As a condition precedent to this guarantee, we may require:</w:t>
      </w:r>
    </w:p>
    <w:p w14:paraId="6A555820" w14:textId="77777777" w:rsidR="00A23B47" w:rsidRPr="00A23B47" w:rsidRDefault="00A23B47" w:rsidP="00A23B47">
      <w:pPr>
        <w:numPr>
          <w:ilvl w:val="0"/>
          <w:numId w:val="2"/>
        </w:numPr>
      </w:pPr>
      <w:r w:rsidRPr="00A23B47">
        <w:t xml:space="preserve">Execution of a Letter of Appointment (LOA) in a form acceptable to us and in Favor of us; and/or </w:t>
      </w:r>
    </w:p>
    <w:p w14:paraId="6722A82D" w14:textId="77777777" w:rsidR="00A23B47" w:rsidRPr="00A23B47" w:rsidRDefault="00A23B47" w:rsidP="00A23B47">
      <w:pPr>
        <w:numPr>
          <w:ilvl w:val="0"/>
          <w:numId w:val="2"/>
        </w:numPr>
      </w:pPr>
      <w:r w:rsidRPr="00A23B47">
        <w:t xml:space="preserve">Full authority to act on the client’s behalf, including authority to communicate directly with incumbent brokers, insurers, or underwriting agencies. </w:t>
      </w:r>
    </w:p>
    <w:p w14:paraId="379ABD69" w14:textId="77777777" w:rsidR="00A23B47" w:rsidRPr="00A23B47" w:rsidRDefault="00A23B47" w:rsidP="00A23B47">
      <w:r w:rsidRPr="00A23B47">
        <w:t>Failure or refusal to provide such authority, or any limitation placed on that authority, will automatically render this guarantee void.</w:t>
      </w:r>
    </w:p>
    <w:p w14:paraId="466130AC" w14:textId="77777777" w:rsidR="00A23B47" w:rsidRPr="00A23B47" w:rsidRDefault="00A23B47" w:rsidP="00A23B47">
      <w:r w:rsidRPr="00A23B47">
        <w:pict w14:anchorId="7BF9AD9D">
          <v:rect id="_x0000_i1094" style="width:468pt;height:1.5pt" o:hralign="center" o:hrstd="t" o:hr="t" fillcolor="#a0a0a0" stroked="f"/>
        </w:pict>
      </w:r>
    </w:p>
    <w:p w14:paraId="199513EC" w14:textId="77777777" w:rsidR="00A23B47" w:rsidRPr="00A23B47" w:rsidRDefault="00A23B47" w:rsidP="00A23B47">
      <w:pPr>
        <w:rPr>
          <w:b/>
          <w:bCs/>
        </w:rPr>
      </w:pPr>
      <w:r w:rsidRPr="00A23B47">
        <w:rPr>
          <w:b/>
          <w:bCs/>
        </w:rPr>
        <w:t>2.4 Like-for-Like Comparison</w:t>
      </w:r>
    </w:p>
    <w:p w14:paraId="072A0B9F" w14:textId="77777777" w:rsidR="00A23B47" w:rsidRPr="00A23B47" w:rsidRDefault="00A23B47" w:rsidP="00A23B47">
      <w:r w:rsidRPr="00A23B47">
        <w:t xml:space="preserve">All comparisons must be on a strictly </w:t>
      </w:r>
      <w:r w:rsidRPr="00A23B47">
        <w:rPr>
          <w:b/>
          <w:bCs/>
        </w:rPr>
        <w:t>materially equivalent basis</w:t>
      </w:r>
      <w:r w:rsidRPr="00A23B47">
        <w:t>, as determined by us, including (without limitation):</w:t>
      </w:r>
    </w:p>
    <w:p w14:paraId="730C7FCA" w14:textId="77777777" w:rsidR="00A23B47" w:rsidRPr="00A23B47" w:rsidRDefault="00A23B47" w:rsidP="00A23B47">
      <w:pPr>
        <w:numPr>
          <w:ilvl w:val="0"/>
          <w:numId w:val="3"/>
        </w:numPr>
      </w:pPr>
      <w:r w:rsidRPr="00A23B47">
        <w:t xml:space="preserve">Sums insured and declared values </w:t>
      </w:r>
    </w:p>
    <w:p w14:paraId="418F6EF4" w14:textId="77777777" w:rsidR="00A23B47" w:rsidRPr="00A23B47" w:rsidRDefault="00A23B47" w:rsidP="00A23B47">
      <w:pPr>
        <w:numPr>
          <w:ilvl w:val="0"/>
          <w:numId w:val="3"/>
        </w:numPr>
      </w:pPr>
      <w:r w:rsidRPr="00A23B47">
        <w:t xml:space="preserve">Excesses, deductibles, and self-insured retentions </w:t>
      </w:r>
    </w:p>
    <w:p w14:paraId="36A0692C" w14:textId="77777777" w:rsidR="00A23B47" w:rsidRPr="00A23B47" w:rsidRDefault="00A23B47" w:rsidP="00A23B47">
      <w:pPr>
        <w:numPr>
          <w:ilvl w:val="0"/>
          <w:numId w:val="3"/>
        </w:numPr>
      </w:pPr>
      <w:r w:rsidRPr="00A23B47">
        <w:t xml:space="preserve">Policy coverage, extensions, exclusions, and endorsements </w:t>
      </w:r>
    </w:p>
    <w:p w14:paraId="42EF915B" w14:textId="77777777" w:rsidR="00A23B47" w:rsidRPr="00A23B47" w:rsidRDefault="00A23B47" w:rsidP="00A23B47">
      <w:pPr>
        <w:numPr>
          <w:ilvl w:val="0"/>
          <w:numId w:val="3"/>
        </w:numPr>
      </w:pPr>
      <w:r w:rsidRPr="00A23B47">
        <w:t xml:space="preserve">Insured entities, interests, and beneficiaries </w:t>
      </w:r>
    </w:p>
    <w:p w14:paraId="7BA817C3" w14:textId="77777777" w:rsidR="00A23B47" w:rsidRPr="00A23B47" w:rsidRDefault="00A23B47" w:rsidP="00A23B47">
      <w:pPr>
        <w:numPr>
          <w:ilvl w:val="0"/>
          <w:numId w:val="3"/>
        </w:numPr>
      </w:pPr>
      <w:r w:rsidRPr="00A23B47">
        <w:t xml:space="preserve">Risk disclosures, claims history, and underwriting information </w:t>
      </w:r>
    </w:p>
    <w:p w14:paraId="7AA48D85" w14:textId="77777777" w:rsidR="00A23B47" w:rsidRPr="00A23B47" w:rsidRDefault="00A23B47" w:rsidP="00A23B47">
      <w:r w:rsidRPr="00A23B47">
        <w:t>We are not obliged to match or beat any price where, in our opinion, any difference (material or otherwise) exists.</w:t>
      </w:r>
    </w:p>
    <w:p w14:paraId="15D626EC" w14:textId="77777777" w:rsidR="00A23B47" w:rsidRPr="00A23B47" w:rsidRDefault="00A23B47" w:rsidP="00A23B47">
      <w:r w:rsidRPr="00A23B47">
        <w:pict w14:anchorId="34865825">
          <v:rect id="_x0000_i1095" style="width:468pt;height:1.5pt" o:hralign="center" o:hrstd="t" o:hr="t" fillcolor="#a0a0a0" stroked="f"/>
        </w:pict>
      </w:r>
    </w:p>
    <w:p w14:paraId="539FEC19" w14:textId="77777777" w:rsidR="00A23B47" w:rsidRPr="00A23B47" w:rsidRDefault="00A23B47" w:rsidP="00A23B47">
      <w:pPr>
        <w:rPr>
          <w:b/>
          <w:bCs/>
        </w:rPr>
      </w:pPr>
      <w:r w:rsidRPr="00A23B47">
        <w:rPr>
          <w:b/>
          <w:bCs/>
        </w:rPr>
        <w:t>2.5 Verification and Reliance</w:t>
      </w:r>
    </w:p>
    <w:p w14:paraId="3931560C" w14:textId="77777777" w:rsidR="00A23B47" w:rsidRPr="00A23B47" w:rsidRDefault="00A23B47" w:rsidP="00A23B47">
      <w:r w:rsidRPr="00A23B47">
        <w:t>We reserve the right to:</w:t>
      </w:r>
    </w:p>
    <w:p w14:paraId="34BED178" w14:textId="77777777" w:rsidR="00A23B47" w:rsidRPr="00A23B47" w:rsidRDefault="00A23B47" w:rsidP="00A23B47">
      <w:pPr>
        <w:numPr>
          <w:ilvl w:val="0"/>
          <w:numId w:val="4"/>
        </w:numPr>
      </w:pPr>
      <w:r w:rsidRPr="00A23B47">
        <w:t xml:space="preserve">Independently verify all information provided; </w:t>
      </w:r>
    </w:p>
    <w:p w14:paraId="1776AA89" w14:textId="77777777" w:rsidR="00A23B47" w:rsidRPr="00A23B47" w:rsidRDefault="00A23B47" w:rsidP="00A23B47">
      <w:pPr>
        <w:numPr>
          <w:ilvl w:val="0"/>
          <w:numId w:val="4"/>
        </w:numPr>
      </w:pPr>
      <w:r w:rsidRPr="00A23B47">
        <w:t xml:space="preserve">Rely on third-party information, underwriting criteria, and market conditions; </w:t>
      </w:r>
    </w:p>
    <w:p w14:paraId="3E78F740" w14:textId="77777777" w:rsidR="00A23B47" w:rsidRPr="00A23B47" w:rsidRDefault="00A23B47" w:rsidP="00A23B47">
      <w:pPr>
        <w:numPr>
          <w:ilvl w:val="0"/>
          <w:numId w:val="4"/>
        </w:numPr>
      </w:pPr>
      <w:r w:rsidRPr="00A23B47">
        <w:t xml:space="preserve">Disregard any quote, indication, or pricing that we consider non-genuine, conditional, loss-leading, or otherwise not reflective of a bona fide market offer. </w:t>
      </w:r>
    </w:p>
    <w:p w14:paraId="41B235E8" w14:textId="77777777" w:rsidR="00A23B47" w:rsidRPr="00A23B47" w:rsidRDefault="00A23B47" w:rsidP="00A23B47">
      <w:r w:rsidRPr="00A23B47">
        <w:pict w14:anchorId="20F063E0">
          <v:rect id="_x0000_i1096" style="width:468pt;height:1.5pt" o:hralign="center" o:hrstd="t" o:hr="t" fillcolor="#a0a0a0" stroked="f"/>
        </w:pict>
      </w:r>
    </w:p>
    <w:p w14:paraId="6CCACF15" w14:textId="77777777" w:rsidR="00A23B47" w:rsidRPr="00A23B47" w:rsidRDefault="00A23B47" w:rsidP="00A23B47">
      <w:pPr>
        <w:rPr>
          <w:b/>
          <w:bCs/>
        </w:rPr>
      </w:pPr>
      <w:r w:rsidRPr="00A23B47">
        <w:rPr>
          <w:b/>
          <w:bCs/>
        </w:rPr>
        <w:t>3. Guarantee Outcome</w:t>
      </w:r>
    </w:p>
    <w:p w14:paraId="3B77559C" w14:textId="77777777" w:rsidR="00A23B47" w:rsidRPr="00A23B47" w:rsidRDefault="00A23B47" w:rsidP="00A23B47">
      <w:r w:rsidRPr="00A23B47">
        <w:t>If, and only if, all eligibility criteria are strictly satisfied and we determine that we are unable to beat a competitor’s price for materially equivalent cover:</w:t>
      </w:r>
    </w:p>
    <w:p w14:paraId="6C1C1A9C" w14:textId="77777777" w:rsidR="00A23B47" w:rsidRPr="00A23B47" w:rsidRDefault="00A23B47" w:rsidP="00A23B47">
      <w:pPr>
        <w:numPr>
          <w:ilvl w:val="0"/>
          <w:numId w:val="5"/>
        </w:numPr>
      </w:pPr>
      <w:r w:rsidRPr="00A23B47">
        <w:t xml:space="preserve">A </w:t>
      </w:r>
      <w:r w:rsidRPr="00A23B47">
        <w:rPr>
          <w:b/>
          <w:bCs/>
        </w:rPr>
        <w:t>$50 gift card</w:t>
      </w:r>
      <w:r w:rsidRPr="00A23B47">
        <w:t xml:space="preserve"> will be issued; </w:t>
      </w:r>
    </w:p>
    <w:p w14:paraId="0D35C3D1" w14:textId="77777777" w:rsidR="00A23B47" w:rsidRPr="00A23B47" w:rsidRDefault="00A23B47" w:rsidP="00A23B47">
      <w:pPr>
        <w:numPr>
          <w:ilvl w:val="0"/>
          <w:numId w:val="5"/>
        </w:numPr>
      </w:pPr>
      <w:r w:rsidRPr="00A23B47">
        <w:lastRenderedPageBreak/>
        <w:t xml:space="preserve">Issuance will occur within </w:t>
      </w:r>
      <w:r w:rsidRPr="00A23B47">
        <w:rPr>
          <w:b/>
          <w:bCs/>
        </w:rPr>
        <w:t>30 days</w:t>
      </w:r>
      <w:r w:rsidRPr="00A23B47">
        <w:t xml:space="preserve"> of our written determination; </w:t>
      </w:r>
    </w:p>
    <w:p w14:paraId="62A5E730" w14:textId="77777777" w:rsidR="00A23B47" w:rsidRPr="00A23B47" w:rsidRDefault="00A23B47" w:rsidP="00A23B47">
      <w:pPr>
        <w:numPr>
          <w:ilvl w:val="0"/>
          <w:numId w:val="5"/>
        </w:numPr>
      </w:pPr>
      <w:r w:rsidRPr="00A23B47">
        <w:t xml:space="preserve">The gift card is </w:t>
      </w:r>
      <w:r w:rsidRPr="00A23B47">
        <w:rPr>
          <w:b/>
          <w:bCs/>
        </w:rPr>
        <w:t>non-transferable, non-redeemable for cash</w:t>
      </w:r>
      <w:r w:rsidRPr="00A23B47">
        <w:t xml:space="preserve">, and subject to any third-party issuer terms. </w:t>
      </w:r>
    </w:p>
    <w:p w14:paraId="11A31A78" w14:textId="77777777" w:rsidR="00A23B47" w:rsidRPr="00A23B47" w:rsidRDefault="00A23B47" w:rsidP="00A23B47">
      <w:r w:rsidRPr="00A23B47">
        <w:t xml:space="preserve">The gift card constitutes the client’s </w:t>
      </w:r>
      <w:r w:rsidRPr="00A23B47">
        <w:rPr>
          <w:b/>
          <w:bCs/>
        </w:rPr>
        <w:t>sole and exclusive remedy</w:t>
      </w:r>
      <w:r w:rsidRPr="00A23B47">
        <w:t>, and no further compensation, claim, or entitlement will arise.</w:t>
      </w:r>
    </w:p>
    <w:p w14:paraId="393B3500" w14:textId="77777777" w:rsidR="00A23B47" w:rsidRPr="00A23B47" w:rsidRDefault="00A23B47" w:rsidP="00A23B47">
      <w:r w:rsidRPr="00A23B47">
        <w:pict w14:anchorId="41345973">
          <v:rect id="_x0000_i1097" style="width:468pt;height:1.5pt" o:hralign="center" o:hrstd="t" o:hr="t" fillcolor="#a0a0a0" stroked="f"/>
        </w:pict>
      </w:r>
    </w:p>
    <w:p w14:paraId="2F6D1ED0" w14:textId="77777777" w:rsidR="00A23B47" w:rsidRPr="00A23B47" w:rsidRDefault="00A23B47" w:rsidP="00A23B47">
      <w:pPr>
        <w:rPr>
          <w:b/>
          <w:bCs/>
        </w:rPr>
      </w:pPr>
      <w:r w:rsidRPr="00A23B47">
        <w:rPr>
          <w:b/>
          <w:bCs/>
        </w:rPr>
        <w:t>4. Right to Refuse, Withdraw, or Terminate</w:t>
      </w:r>
    </w:p>
    <w:p w14:paraId="0843D4ED" w14:textId="77777777" w:rsidR="00A23B47" w:rsidRPr="00A23B47" w:rsidRDefault="00A23B47" w:rsidP="00A23B47">
      <w:r w:rsidRPr="00A23B47">
        <w:t>We reserve the unrestricted right, at any time and without liability, to:</w:t>
      </w:r>
    </w:p>
    <w:p w14:paraId="2D4C46E4" w14:textId="77777777" w:rsidR="00A23B47" w:rsidRPr="00A23B47" w:rsidRDefault="00A23B47" w:rsidP="00A23B47">
      <w:pPr>
        <w:numPr>
          <w:ilvl w:val="0"/>
          <w:numId w:val="6"/>
        </w:numPr>
      </w:pPr>
      <w:r w:rsidRPr="00A23B47">
        <w:t xml:space="preserve">Decline to provide services; </w:t>
      </w:r>
    </w:p>
    <w:p w14:paraId="6248548B" w14:textId="77777777" w:rsidR="00A23B47" w:rsidRPr="00A23B47" w:rsidRDefault="00A23B47" w:rsidP="00A23B47">
      <w:pPr>
        <w:numPr>
          <w:ilvl w:val="0"/>
          <w:numId w:val="6"/>
        </w:numPr>
      </w:pPr>
      <w:r w:rsidRPr="00A23B47">
        <w:t xml:space="preserve">Refuse to quote; </w:t>
      </w:r>
    </w:p>
    <w:p w14:paraId="0BE04FC9" w14:textId="77777777" w:rsidR="00A23B47" w:rsidRPr="00A23B47" w:rsidRDefault="00A23B47" w:rsidP="00A23B47">
      <w:pPr>
        <w:numPr>
          <w:ilvl w:val="0"/>
          <w:numId w:val="6"/>
        </w:numPr>
      </w:pPr>
      <w:r w:rsidRPr="00A23B47">
        <w:t xml:space="preserve">Withdraw, suspend, or terminate the comparison process; or </w:t>
      </w:r>
    </w:p>
    <w:p w14:paraId="37618C17" w14:textId="77777777" w:rsidR="00A23B47" w:rsidRPr="00A23B47" w:rsidRDefault="00A23B47" w:rsidP="00A23B47">
      <w:pPr>
        <w:numPr>
          <w:ilvl w:val="0"/>
          <w:numId w:val="6"/>
        </w:numPr>
      </w:pPr>
      <w:r w:rsidRPr="00A23B47">
        <w:t xml:space="preserve">Declare the guarantee inapplicable </w:t>
      </w:r>
    </w:p>
    <w:p w14:paraId="34481F6E" w14:textId="77777777" w:rsidR="00A23B47" w:rsidRPr="00A23B47" w:rsidRDefault="00A23B47" w:rsidP="00A23B47">
      <w:r w:rsidRPr="00A23B47">
        <w:t>where, in our opinion, circumstances are:</w:t>
      </w:r>
    </w:p>
    <w:p w14:paraId="4DEA86F7" w14:textId="77777777" w:rsidR="00A23B47" w:rsidRPr="00A23B47" w:rsidRDefault="00A23B47" w:rsidP="00A23B47">
      <w:pPr>
        <w:numPr>
          <w:ilvl w:val="0"/>
          <w:numId w:val="7"/>
        </w:numPr>
      </w:pPr>
      <w:r w:rsidRPr="00A23B47">
        <w:t xml:space="preserve">Incomplete, inaccurate, or misleading; </w:t>
      </w:r>
    </w:p>
    <w:p w14:paraId="3948A0ED" w14:textId="77777777" w:rsidR="00A23B47" w:rsidRPr="00A23B47" w:rsidRDefault="00A23B47" w:rsidP="00A23B47">
      <w:pPr>
        <w:numPr>
          <w:ilvl w:val="0"/>
          <w:numId w:val="7"/>
        </w:numPr>
      </w:pPr>
      <w:r w:rsidRPr="00A23B47">
        <w:t xml:space="preserve">Commercially unreasonable or unviable; </w:t>
      </w:r>
    </w:p>
    <w:p w14:paraId="32526CDB" w14:textId="77777777" w:rsidR="00A23B47" w:rsidRPr="00A23B47" w:rsidRDefault="00A23B47" w:rsidP="00A23B47">
      <w:pPr>
        <w:numPr>
          <w:ilvl w:val="0"/>
          <w:numId w:val="7"/>
        </w:numPr>
      </w:pPr>
      <w:r w:rsidRPr="00A23B47">
        <w:t xml:space="preserve">Inconsistent with underwriting appetite or market conditions; </w:t>
      </w:r>
    </w:p>
    <w:p w14:paraId="1F26CF59" w14:textId="77777777" w:rsidR="00A23B47" w:rsidRPr="00A23B47" w:rsidRDefault="00A23B47" w:rsidP="00A23B47">
      <w:pPr>
        <w:numPr>
          <w:ilvl w:val="0"/>
          <w:numId w:val="7"/>
        </w:numPr>
      </w:pPr>
      <w:r w:rsidRPr="00A23B47">
        <w:t xml:space="preserve">Contrary to our legal, regulatory, or professional obligations; or </w:t>
      </w:r>
    </w:p>
    <w:p w14:paraId="2EED4F3E" w14:textId="77777777" w:rsidR="00A23B47" w:rsidRPr="00A23B47" w:rsidRDefault="00A23B47" w:rsidP="00A23B47">
      <w:pPr>
        <w:numPr>
          <w:ilvl w:val="0"/>
          <w:numId w:val="7"/>
        </w:numPr>
      </w:pPr>
      <w:r w:rsidRPr="00A23B47">
        <w:t xml:space="preserve">Otherwise inappropriate for any reason. </w:t>
      </w:r>
    </w:p>
    <w:p w14:paraId="6105C30E" w14:textId="77777777" w:rsidR="00A23B47" w:rsidRPr="00A23B47" w:rsidRDefault="00A23B47" w:rsidP="00A23B47">
      <w:r w:rsidRPr="00A23B47">
        <w:t xml:space="preserve">We are under </w:t>
      </w:r>
      <w:r w:rsidRPr="00A23B47">
        <w:rPr>
          <w:b/>
          <w:bCs/>
        </w:rPr>
        <w:t>no obligation</w:t>
      </w:r>
      <w:r w:rsidRPr="00A23B47">
        <w:t xml:space="preserve"> to place, arrange, or recommend insurance.</w:t>
      </w:r>
    </w:p>
    <w:p w14:paraId="3518DF81" w14:textId="77777777" w:rsidR="00A23B47" w:rsidRPr="00A23B47" w:rsidRDefault="00A23B47" w:rsidP="00A23B47">
      <w:r w:rsidRPr="00A23B47">
        <w:pict w14:anchorId="105858C9">
          <v:rect id="_x0000_i1098" style="width:468pt;height:1.5pt" o:hralign="center" o:hrstd="t" o:hr="t" fillcolor="#a0a0a0" stroked="f"/>
        </w:pict>
      </w:r>
    </w:p>
    <w:p w14:paraId="16433587" w14:textId="77777777" w:rsidR="00A23B47" w:rsidRPr="00A23B47" w:rsidRDefault="00A23B47" w:rsidP="00A23B47">
      <w:pPr>
        <w:rPr>
          <w:b/>
          <w:bCs/>
        </w:rPr>
      </w:pPr>
      <w:r w:rsidRPr="00A23B47">
        <w:rPr>
          <w:b/>
          <w:bCs/>
        </w:rPr>
        <w:t>5. Limitation of Liability</w:t>
      </w:r>
    </w:p>
    <w:p w14:paraId="2B693178" w14:textId="77777777" w:rsidR="00A23B47" w:rsidRPr="00A23B47" w:rsidRDefault="00A23B47" w:rsidP="00A23B47">
      <w:r w:rsidRPr="00A23B47">
        <w:t>To the maximum extent permitted by law:</w:t>
      </w:r>
    </w:p>
    <w:p w14:paraId="7D9B8F9F" w14:textId="77777777" w:rsidR="00A23B47" w:rsidRPr="00A23B47" w:rsidRDefault="00A23B47" w:rsidP="00A23B47">
      <w:pPr>
        <w:numPr>
          <w:ilvl w:val="0"/>
          <w:numId w:val="8"/>
        </w:numPr>
      </w:pPr>
      <w:r w:rsidRPr="00A23B47">
        <w:t xml:space="preserve">We accept </w:t>
      </w:r>
      <w:r w:rsidRPr="00A23B47">
        <w:rPr>
          <w:b/>
          <w:bCs/>
        </w:rPr>
        <w:t>no liability</w:t>
      </w:r>
      <w:r w:rsidRPr="00A23B47">
        <w:t xml:space="preserve"> for any loss, damage, cost, or expense arising from or in connection with this guarantee, the comparison process, or any decision not to proceed. </w:t>
      </w:r>
    </w:p>
    <w:p w14:paraId="53E1CE75" w14:textId="77777777" w:rsidR="00A23B47" w:rsidRPr="00A23B47" w:rsidRDefault="00A23B47" w:rsidP="00A23B47">
      <w:pPr>
        <w:numPr>
          <w:ilvl w:val="0"/>
          <w:numId w:val="8"/>
        </w:numPr>
      </w:pPr>
      <w:r w:rsidRPr="00A23B47">
        <w:t xml:space="preserve">We make </w:t>
      </w:r>
      <w:r w:rsidRPr="00A23B47">
        <w:rPr>
          <w:b/>
          <w:bCs/>
        </w:rPr>
        <w:t>no representation or warranty</w:t>
      </w:r>
      <w:r w:rsidRPr="00A23B47">
        <w:t xml:space="preserve"> that any price can or will be beaten. </w:t>
      </w:r>
    </w:p>
    <w:p w14:paraId="18BA368C" w14:textId="77777777" w:rsidR="00A23B47" w:rsidRPr="00A23B47" w:rsidRDefault="00A23B47" w:rsidP="00A23B47">
      <w:pPr>
        <w:numPr>
          <w:ilvl w:val="0"/>
          <w:numId w:val="8"/>
        </w:numPr>
      </w:pPr>
      <w:r w:rsidRPr="00A23B47">
        <w:t xml:space="preserve">All implied terms, conditions, and warranties are excluded to the extent permitted by law. </w:t>
      </w:r>
    </w:p>
    <w:p w14:paraId="3ACB5CBF" w14:textId="77777777" w:rsidR="00A23B47" w:rsidRPr="00A23B47" w:rsidRDefault="00A23B47" w:rsidP="00A23B47">
      <w:r w:rsidRPr="00A23B47">
        <w:pict w14:anchorId="2852DFDA">
          <v:rect id="_x0000_i1099" style="width:468pt;height:1.5pt" o:hralign="center" o:hrstd="t" o:hr="t" fillcolor="#a0a0a0" stroked="f"/>
        </w:pict>
      </w:r>
    </w:p>
    <w:p w14:paraId="26B1D498" w14:textId="77777777" w:rsidR="00A23B47" w:rsidRPr="00A23B47" w:rsidRDefault="00A23B47" w:rsidP="00A23B47">
      <w:pPr>
        <w:rPr>
          <w:b/>
          <w:bCs/>
        </w:rPr>
      </w:pPr>
      <w:r w:rsidRPr="00A23B47">
        <w:rPr>
          <w:b/>
          <w:bCs/>
        </w:rPr>
        <w:t>6. General Conditions</w:t>
      </w:r>
    </w:p>
    <w:p w14:paraId="0F359075" w14:textId="77777777" w:rsidR="00A23B47" w:rsidRPr="00A23B47" w:rsidRDefault="00A23B47" w:rsidP="00A23B47">
      <w:pPr>
        <w:numPr>
          <w:ilvl w:val="0"/>
          <w:numId w:val="9"/>
        </w:numPr>
      </w:pPr>
      <w:r w:rsidRPr="00A23B47">
        <w:t xml:space="preserve">This offer applies to </w:t>
      </w:r>
      <w:r w:rsidRPr="00A23B47">
        <w:rPr>
          <w:b/>
          <w:bCs/>
        </w:rPr>
        <w:t>SME business insurance and property owner clients only</w:t>
      </w:r>
      <w:r w:rsidRPr="00A23B47">
        <w:t xml:space="preserve">, as determined by us. </w:t>
      </w:r>
    </w:p>
    <w:p w14:paraId="14F385B0" w14:textId="77777777" w:rsidR="00A23B47" w:rsidRPr="00A23B47" w:rsidRDefault="00A23B47" w:rsidP="00A23B47">
      <w:pPr>
        <w:numPr>
          <w:ilvl w:val="0"/>
          <w:numId w:val="9"/>
        </w:numPr>
      </w:pPr>
      <w:r w:rsidRPr="00A23B47">
        <w:lastRenderedPageBreak/>
        <w:t xml:space="preserve">The guarantee applies to </w:t>
      </w:r>
      <w:r w:rsidRPr="00A23B47">
        <w:rPr>
          <w:b/>
          <w:bCs/>
        </w:rPr>
        <w:t>first placement only</w:t>
      </w:r>
      <w:r w:rsidRPr="00A23B47">
        <w:t xml:space="preserve"> and does not apply to renewals, variations, or mid-term adjustments. </w:t>
      </w:r>
    </w:p>
    <w:p w14:paraId="5D5C78B8" w14:textId="77777777" w:rsidR="00A23B47" w:rsidRPr="00A23B47" w:rsidRDefault="00A23B47" w:rsidP="00A23B47">
      <w:pPr>
        <w:numPr>
          <w:ilvl w:val="0"/>
          <w:numId w:val="9"/>
        </w:numPr>
      </w:pPr>
      <w:r w:rsidRPr="00A23B47">
        <w:t xml:space="preserve">This offer may be </w:t>
      </w:r>
      <w:r w:rsidRPr="00A23B47">
        <w:rPr>
          <w:b/>
          <w:bCs/>
        </w:rPr>
        <w:t>amended, withdrawn, or terminated at any time without notice</w:t>
      </w:r>
      <w:r w:rsidRPr="00A23B47">
        <w:t xml:space="preserve">. </w:t>
      </w:r>
    </w:p>
    <w:p w14:paraId="3F900522" w14:textId="77777777" w:rsidR="00A23B47" w:rsidRPr="00A23B47" w:rsidRDefault="00A23B47" w:rsidP="00A23B47">
      <w:pPr>
        <w:numPr>
          <w:ilvl w:val="0"/>
          <w:numId w:val="9"/>
        </w:numPr>
      </w:pPr>
      <w:r w:rsidRPr="00A23B47">
        <w:t xml:space="preserve">This promotion does </w:t>
      </w:r>
      <w:r w:rsidRPr="00A23B47">
        <w:rPr>
          <w:b/>
          <w:bCs/>
        </w:rPr>
        <w:t>not constitute financial product advice</w:t>
      </w:r>
      <w:r w:rsidRPr="00A23B47">
        <w:t xml:space="preserve"> and does not take into account any person’s objectives, financial situation, or needs. </w:t>
      </w:r>
    </w:p>
    <w:p w14:paraId="1321BE79" w14:textId="77777777" w:rsidR="00A23B47" w:rsidRPr="00A23B47" w:rsidRDefault="00A23B47" w:rsidP="00A23B47">
      <w:pPr>
        <w:numPr>
          <w:ilvl w:val="0"/>
          <w:numId w:val="9"/>
        </w:numPr>
      </w:pPr>
      <w:r w:rsidRPr="00A23B47">
        <w:t xml:space="preserve">All services remain subject to our standard engagement terms, Financial Services Guide (FSG), and disclosure obligations under the </w:t>
      </w:r>
      <w:r w:rsidRPr="00A23B47">
        <w:rPr>
          <w:i/>
          <w:iCs/>
        </w:rPr>
        <w:t>Corporations Act 2001 (Cth)</w:t>
      </w:r>
      <w:r w:rsidRPr="00A23B47">
        <w:t xml:space="preserve">. </w:t>
      </w:r>
    </w:p>
    <w:p w14:paraId="1094E8A0" w14:textId="77777777" w:rsidR="00A23B47" w:rsidRPr="00A23B47" w:rsidRDefault="00A23B47" w:rsidP="00A23B47">
      <w:r w:rsidRPr="00A23B47">
        <w:pict w14:anchorId="0E6276F4">
          <v:rect id="_x0000_i1100" style="width:468pt;height:1.5pt" o:hralign="center" o:hrstd="t" o:hr="t" fillcolor="#a0a0a0" stroked="f"/>
        </w:pict>
      </w:r>
    </w:p>
    <w:p w14:paraId="3BACEC3C" w14:textId="77777777" w:rsidR="00A23B47" w:rsidRPr="00A23B47" w:rsidRDefault="00A23B47" w:rsidP="00A23B47">
      <w:pPr>
        <w:rPr>
          <w:b/>
          <w:bCs/>
        </w:rPr>
      </w:pPr>
      <w:r w:rsidRPr="00A23B47">
        <w:rPr>
          <w:b/>
          <w:bCs/>
        </w:rPr>
        <w:t>7. Exclusions – Schemes, Group Arrangements, and Master Policies</w:t>
      </w:r>
    </w:p>
    <w:p w14:paraId="73EF96C8" w14:textId="77777777" w:rsidR="00A23B47" w:rsidRPr="00A23B47" w:rsidRDefault="00A23B47" w:rsidP="00A23B47">
      <w:r w:rsidRPr="00A23B47">
        <w:t>This guarantee does not apply to, and expressly excludes, any insurance arranged under or in connection with:</w:t>
      </w:r>
    </w:p>
    <w:p w14:paraId="49786074" w14:textId="77777777" w:rsidR="00A23B47" w:rsidRPr="00A23B47" w:rsidRDefault="00A23B47" w:rsidP="00A23B47">
      <w:pPr>
        <w:numPr>
          <w:ilvl w:val="0"/>
          <w:numId w:val="10"/>
        </w:numPr>
      </w:pPr>
      <w:r w:rsidRPr="00A23B47">
        <w:t xml:space="preserve">Industry schemes, association programs, or group arrangements; </w:t>
      </w:r>
    </w:p>
    <w:p w14:paraId="2A192E44" w14:textId="77777777" w:rsidR="00A23B47" w:rsidRPr="00A23B47" w:rsidRDefault="00A23B47" w:rsidP="00A23B47">
      <w:pPr>
        <w:numPr>
          <w:ilvl w:val="0"/>
          <w:numId w:val="10"/>
        </w:numPr>
      </w:pPr>
      <w:r w:rsidRPr="00A23B47">
        <w:t xml:space="preserve">Bulk, corporate, or volume-based placements or negotiated facilities; </w:t>
      </w:r>
    </w:p>
    <w:p w14:paraId="23109E4D" w14:textId="77777777" w:rsidR="00A23B47" w:rsidRPr="00A23B47" w:rsidRDefault="00A23B47" w:rsidP="00A23B47">
      <w:pPr>
        <w:numPr>
          <w:ilvl w:val="0"/>
          <w:numId w:val="10"/>
        </w:numPr>
      </w:pPr>
      <w:r w:rsidRPr="00A23B47">
        <w:t xml:space="preserve">Master policies, umbrella arrangements, or similar structures (including where the </w:t>
      </w:r>
      <w:r w:rsidRPr="00A23B47">
        <w:rPr>
          <w:rFonts w:ascii="Arial" w:hAnsi="Arial" w:cs="Arial"/>
        </w:rPr>
        <w:t>العميل</w:t>
      </w:r>
      <w:r w:rsidRPr="00A23B47">
        <w:t xml:space="preserve"> participates as a member, beneficiary, or insured party); </w:t>
      </w:r>
    </w:p>
    <w:p w14:paraId="4F95C145" w14:textId="77777777" w:rsidR="00A23B47" w:rsidRPr="00A23B47" w:rsidRDefault="00A23B47" w:rsidP="00A23B47">
      <w:pPr>
        <w:numPr>
          <w:ilvl w:val="0"/>
          <w:numId w:val="10"/>
        </w:numPr>
      </w:pPr>
      <w:r w:rsidRPr="00A23B47">
        <w:t xml:space="preserve">Any facility, binder, or delegated underwriting arrangement not available to us on equivalent terms. </w:t>
      </w:r>
    </w:p>
    <w:p w14:paraId="3F2450FA" w14:textId="77777777" w:rsidR="00A23B47" w:rsidRPr="00A23B47" w:rsidRDefault="00A23B47" w:rsidP="00A23B47">
      <w:r w:rsidRPr="00A23B47">
        <w:pict w14:anchorId="727A306D">
          <v:rect id="_x0000_i1101" style="width:468pt;height:1.5pt" o:hralign="center" o:hrstd="t" o:hr="t" fillcolor="#a0a0a0" stroked="f"/>
        </w:pict>
      </w:r>
    </w:p>
    <w:p w14:paraId="6F4369A6" w14:textId="77777777" w:rsidR="00A23B47" w:rsidRPr="00A23B47" w:rsidRDefault="00A23B47" w:rsidP="00A23B47">
      <w:pPr>
        <w:rPr>
          <w:b/>
          <w:bCs/>
        </w:rPr>
      </w:pPr>
      <w:r w:rsidRPr="00A23B47">
        <w:rPr>
          <w:b/>
          <w:bCs/>
        </w:rPr>
        <w:t>8. Anti-Avoidance</w:t>
      </w:r>
    </w:p>
    <w:p w14:paraId="0838F58D" w14:textId="77777777" w:rsidR="00A23B47" w:rsidRPr="00A23B47" w:rsidRDefault="00A23B47" w:rsidP="00A23B47">
      <w:r w:rsidRPr="00A23B47">
        <w:t>We may, in our absolute discretion, declare this guarantee void where we reasonably believe that:</w:t>
      </w:r>
    </w:p>
    <w:p w14:paraId="0C30D999" w14:textId="77777777" w:rsidR="00A23B47" w:rsidRPr="00A23B47" w:rsidRDefault="00A23B47" w:rsidP="00A23B47">
      <w:pPr>
        <w:numPr>
          <w:ilvl w:val="0"/>
          <w:numId w:val="11"/>
        </w:numPr>
      </w:pPr>
      <w:r w:rsidRPr="00A23B47">
        <w:t xml:space="preserve">The process is being manipulated or used for benchmarking, leverage, or negotiation with another broker or insurer; </w:t>
      </w:r>
    </w:p>
    <w:p w14:paraId="49187EF9" w14:textId="77777777" w:rsidR="00A23B47" w:rsidRPr="00A23B47" w:rsidRDefault="00A23B47" w:rsidP="00A23B47">
      <w:pPr>
        <w:numPr>
          <w:ilvl w:val="0"/>
          <w:numId w:val="11"/>
        </w:numPr>
      </w:pPr>
      <w:r w:rsidRPr="00A23B47">
        <w:t xml:space="preserve">Information has been selectively disclosed or structured to obtain an advantage; or </w:t>
      </w:r>
    </w:p>
    <w:p w14:paraId="4BCBFFBB" w14:textId="77777777" w:rsidR="00A23B47" w:rsidRPr="00A23B47" w:rsidRDefault="00A23B47" w:rsidP="00A23B47">
      <w:pPr>
        <w:numPr>
          <w:ilvl w:val="0"/>
          <w:numId w:val="11"/>
        </w:numPr>
      </w:pPr>
      <w:r w:rsidRPr="00A23B47">
        <w:t>The request is not made in good faith.</w:t>
      </w:r>
    </w:p>
    <w:p w14:paraId="272EE36A" w14:textId="77777777" w:rsidR="00E03B3B" w:rsidRDefault="00E03B3B"/>
    <w:sectPr w:rsidR="00E03B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9C9"/>
    <w:multiLevelType w:val="multilevel"/>
    <w:tmpl w:val="7C6CC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35F00"/>
    <w:multiLevelType w:val="multilevel"/>
    <w:tmpl w:val="AA109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47399E"/>
    <w:multiLevelType w:val="multilevel"/>
    <w:tmpl w:val="5E541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E1D69"/>
    <w:multiLevelType w:val="multilevel"/>
    <w:tmpl w:val="DEA63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274F9A"/>
    <w:multiLevelType w:val="multilevel"/>
    <w:tmpl w:val="0F4AF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E2CB6"/>
    <w:multiLevelType w:val="multilevel"/>
    <w:tmpl w:val="FC50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6E2F67"/>
    <w:multiLevelType w:val="multilevel"/>
    <w:tmpl w:val="69BA6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DF5254"/>
    <w:multiLevelType w:val="multilevel"/>
    <w:tmpl w:val="386C0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51160E"/>
    <w:multiLevelType w:val="multilevel"/>
    <w:tmpl w:val="87707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604FD3"/>
    <w:multiLevelType w:val="multilevel"/>
    <w:tmpl w:val="3CA4E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28496C"/>
    <w:multiLevelType w:val="multilevel"/>
    <w:tmpl w:val="E28E1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16047763">
    <w:abstractNumId w:val="10"/>
    <w:lvlOverride w:ilvl="0"/>
    <w:lvlOverride w:ilvl="1"/>
    <w:lvlOverride w:ilvl="2"/>
    <w:lvlOverride w:ilvl="3"/>
    <w:lvlOverride w:ilvl="4"/>
    <w:lvlOverride w:ilvl="5"/>
    <w:lvlOverride w:ilvl="6"/>
    <w:lvlOverride w:ilvl="7"/>
    <w:lvlOverride w:ilvl="8"/>
  </w:num>
  <w:num w:numId="2" w16cid:durableId="351957023">
    <w:abstractNumId w:val="2"/>
    <w:lvlOverride w:ilvl="0"/>
    <w:lvlOverride w:ilvl="1"/>
    <w:lvlOverride w:ilvl="2"/>
    <w:lvlOverride w:ilvl="3"/>
    <w:lvlOverride w:ilvl="4"/>
    <w:lvlOverride w:ilvl="5"/>
    <w:lvlOverride w:ilvl="6"/>
    <w:lvlOverride w:ilvl="7"/>
    <w:lvlOverride w:ilvl="8"/>
  </w:num>
  <w:num w:numId="3" w16cid:durableId="577597450">
    <w:abstractNumId w:val="6"/>
    <w:lvlOverride w:ilvl="0"/>
    <w:lvlOverride w:ilvl="1"/>
    <w:lvlOverride w:ilvl="2"/>
    <w:lvlOverride w:ilvl="3"/>
    <w:lvlOverride w:ilvl="4"/>
    <w:lvlOverride w:ilvl="5"/>
    <w:lvlOverride w:ilvl="6"/>
    <w:lvlOverride w:ilvl="7"/>
    <w:lvlOverride w:ilvl="8"/>
  </w:num>
  <w:num w:numId="4" w16cid:durableId="794830676">
    <w:abstractNumId w:val="5"/>
    <w:lvlOverride w:ilvl="0"/>
    <w:lvlOverride w:ilvl="1"/>
    <w:lvlOverride w:ilvl="2"/>
    <w:lvlOverride w:ilvl="3"/>
    <w:lvlOverride w:ilvl="4"/>
    <w:lvlOverride w:ilvl="5"/>
    <w:lvlOverride w:ilvl="6"/>
    <w:lvlOverride w:ilvl="7"/>
    <w:lvlOverride w:ilvl="8"/>
  </w:num>
  <w:num w:numId="5" w16cid:durableId="415857335">
    <w:abstractNumId w:val="0"/>
    <w:lvlOverride w:ilvl="0"/>
    <w:lvlOverride w:ilvl="1"/>
    <w:lvlOverride w:ilvl="2"/>
    <w:lvlOverride w:ilvl="3"/>
    <w:lvlOverride w:ilvl="4"/>
    <w:lvlOverride w:ilvl="5"/>
    <w:lvlOverride w:ilvl="6"/>
    <w:lvlOverride w:ilvl="7"/>
    <w:lvlOverride w:ilvl="8"/>
  </w:num>
  <w:num w:numId="6" w16cid:durableId="337345502">
    <w:abstractNumId w:val="9"/>
    <w:lvlOverride w:ilvl="0"/>
    <w:lvlOverride w:ilvl="1"/>
    <w:lvlOverride w:ilvl="2"/>
    <w:lvlOverride w:ilvl="3"/>
    <w:lvlOverride w:ilvl="4"/>
    <w:lvlOverride w:ilvl="5"/>
    <w:lvlOverride w:ilvl="6"/>
    <w:lvlOverride w:ilvl="7"/>
    <w:lvlOverride w:ilvl="8"/>
  </w:num>
  <w:num w:numId="7" w16cid:durableId="1971740938">
    <w:abstractNumId w:val="7"/>
    <w:lvlOverride w:ilvl="0"/>
    <w:lvlOverride w:ilvl="1"/>
    <w:lvlOverride w:ilvl="2"/>
    <w:lvlOverride w:ilvl="3"/>
    <w:lvlOverride w:ilvl="4"/>
    <w:lvlOverride w:ilvl="5"/>
    <w:lvlOverride w:ilvl="6"/>
    <w:lvlOverride w:ilvl="7"/>
    <w:lvlOverride w:ilvl="8"/>
  </w:num>
  <w:num w:numId="8" w16cid:durableId="1195314935">
    <w:abstractNumId w:val="4"/>
    <w:lvlOverride w:ilvl="0"/>
    <w:lvlOverride w:ilvl="1"/>
    <w:lvlOverride w:ilvl="2"/>
    <w:lvlOverride w:ilvl="3"/>
    <w:lvlOverride w:ilvl="4"/>
    <w:lvlOverride w:ilvl="5"/>
    <w:lvlOverride w:ilvl="6"/>
    <w:lvlOverride w:ilvl="7"/>
    <w:lvlOverride w:ilvl="8"/>
  </w:num>
  <w:num w:numId="9" w16cid:durableId="1276323990">
    <w:abstractNumId w:val="3"/>
    <w:lvlOverride w:ilvl="0"/>
    <w:lvlOverride w:ilvl="1"/>
    <w:lvlOverride w:ilvl="2"/>
    <w:lvlOverride w:ilvl="3"/>
    <w:lvlOverride w:ilvl="4"/>
    <w:lvlOverride w:ilvl="5"/>
    <w:lvlOverride w:ilvl="6"/>
    <w:lvlOverride w:ilvl="7"/>
    <w:lvlOverride w:ilvl="8"/>
  </w:num>
  <w:num w:numId="10" w16cid:durableId="1726178673">
    <w:abstractNumId w:val="1"/>
    <w:lvlOverride w:ilvl="0"/>
    <w:lvlOverride w:ilvl="1"/>
    <w:lvlOverride w:ilvl="2"/>
    <w:lvlOverride w:ilvl="3"/>
    <w:lvlOverride w:ilvl="4"/>
    <w:lvlOverride w:ilvl="5"/>
    <w:lvlOverride w:ilvl="6"/>
    <w:lvlOverride w:ilvl="7"/>
    <w:lvlOverride w:ilvl="8"/>
  </w:num>
  <w:num w:numId="11" w16cid:durableId="594365726">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B47"/>
    <w:rsid w:val="00401881"/>
    <w:rsid w:val="00486406"/>
    <w:rsid w:val="00A23B47"/>
    <w:rsid w:val="00E03B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58387"/>
  <w15:chartTrackingRefBased/>
  <w15:docId w15:val="{448FF96C-444A-41F5-B1DF-D1E09227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3B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3B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3B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3B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B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B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B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B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B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B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3B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3B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3B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B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B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B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B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B47"/>
    <w:rPr>
      <w:rFonts w:eastAsiaTheme="majorEastAsia" w:cstheme="majorBidi"/>
      <w:color w:val="272727" w:themeColor="text1" w:themeTint="D8"/>
    </w:rPr>
  </w:style>
  <w:style w:type="paragraph" w:styleId="Title">
    <w:name w:val="Title"/>
    <w:basedOn w:val="Normal"/>
    <w:next w:val="Normal"/>
    <w:link w:val="TitleChar"/>
    <w:uiPriority w:val="10"/>
    <w:qFormat/>
    <w:rsid w:val="00A23B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B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B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B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B47"/>
    <w:pPr>
      <w:spacing w:before="160"/>
      <w:jc w:val="center"/>
    </w:pPr>
    <w:rPr>
      <w:i/>
      <w:iCs/>
      <w:color w:val="404040" w:themeColor="text1" w:themeTint="BF"/>
    </w:rPr>
  </w:style>
  <w:style w:type="character" w:customStyle="1" w:styleId="QuoteChar">
    <w:name w:val="Quote Char"/>
    <w:basedOn w:val="DefaultParagraphFont"/>
    <w:link w:val="Quote"/>
    <w:uiPriority w:val="29"/>
    <w:rsid w:val="00A23B47"/>
    <w:rPr>
      <w:i/>
      <w:iCs/>
      <w:color w:val="404040" w:themeColor="text1" w:themeTint="BF"/>
    </w:rPr>
  </w:style>
  <w:style w:type="paragraph" w:styleId="ListParagraph">
    <w:name w:val="List Paragraph"/>
    <w:basedOn w:val="Normal"/>
    <w:uiPriority w:val="34"/>
    <w:qFormat/>
    <w:rsid w:val="00A23B47"/>
    <w:pPr>
      <w:ind w:left="720"/>
      <w:contextualSpacing/>
    </w:pPr>
  </w:style>
  <w:style w:type="character" w:styleId="IntenseEmphasis">
    <w:name w:val="Intense Emphasis"/>
    <w:basedOn w:val="DefaultParagraphFont"/>
    <w:uiPriority w:val="21"/>
    <w:qFormat/>
    <w:rsid w:val="00A23B47"/>
    <w:rPr>
      <w:i/>
      <w:iCs/>
      <w:color w:val="0F4761" w:themeColor="accent1" w:themeShade="BF"/>
    </w:rPr>
  </w:style>
  <w:style w:type="paragraph" w:styleId="IntenseQuote">
    <w:name w:val="Intense Quote"/>
    <w:basedOn w:val="Normal"/>
    <w:next w:val="Normal"/>
    <w:link w:val="IntenseQuoteChar"/>
    <w:uiPriority w:val="30"/>
    <w:qFormat/>
    <w:rsid w:val="00A23B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B47"/>
    <w:rPr>
      <w:i/>
      <w:iCs/>
      <w:color w:val="0F4761" w:themeColor="accent1" w:themeShade="BF"/>
    </w:rPr>
  </w:style>
  <w:style w:type="character" w:styleId="IntenseReference">
    <w:name w:val="Intense Reference"/>
    <w:basedOn w:val="DefaultParagraphFont"/>
    <w:uiPriority w:val="32"/>
    <w:qFormat/>
    <w:rsid w:val="00A23B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924</Words>
  <Characters>5267</Characters>
  <Application>Microsoft Office Word</Application>
  <DocSecurity>0</DocSecurity>
  <Lines>43</Lines>
  <Paragraphs>12</Paragraphs>
  <ScaleCrop>false</ScaleCrop>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Hatzi</dc:creator>
  <cp:keywords/>
  <dc:description/>
  <cp:lastModifiedBy>Arthur Hatzi</cp:lastModifiedBy>
  <cp:revision>1</cp:revision>
  <dcterms:created xsi:type="dcterms:W3CDTF">2026-03-22T21:54:00Z</dcterms:created>
  <dcterms:modified xsi:type="dcterms:W3CDTF">2026-03-22T21:55:00Z</dcterms:modified>
</cp:coreProperties>
</file>